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400" w:type="dxa"/>
        <w:tblInd w:w="-1310" w:type="dxa"/>
        <w:tblLook w:val="04A0"/>
      </w:tblPr>
      <w:tblGrid>
        <w:gridCol w:w="2169"/>
        <w:gridCol w:w="3077"/>
        <w:gridCol w:w="3077"/>
        <w:gridCol w:w="3077"/>
      </w:tblGrid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твёрдое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твёрдое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светлый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светлый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молодой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молодой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холодный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холодный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близкие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близкие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злой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злой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мокрые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мокрые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длинная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длинная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весёлый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весёлый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лёгкий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лёгкий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тесная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тесная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сладкие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сладкие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поздний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поздний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трусливый</w:t>
            </w: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трусливый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</w:p>
          <w:p w:rsidR="00597684" w:rsidRPr="00597684" w:rsidRDefault="00597684" w:rsidP="00A66D34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</w:p>
        </w:tc>
        <w:tc>
          <w:tcPr>
            <w:tcW w:w="3077" w:type="dxa"/>
          </w:tcPr>
          <w:p w:rsidR="00597684" w:rsidRPr="00597684" w:rsidRDefault="00597684" w:rsidP="00A66D34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</w:p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твёрдое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твёрдое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светлый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светлый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молодой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молодой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холодный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холодный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близкие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близкие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злой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злой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мокрые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мокрые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длинная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длинная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весёлый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весёлый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лёгкий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лёгкий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тесная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тесная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сладкие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сладкие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поздний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поздний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  <w:tr w:rsidR="00597684" w:rsidRPr="00597684" w:rsidTr="00597684">
        <w:tc>
          <w:tcPr>
            <w:tcW w:w="2169" w:type="dxa"/>
          </w:tcPr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трусливый</w:t>
            </w: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  <w:tc>
          <w:tcPr>
            <w:tcW w:w="3077" w:type="dxa"/>
          </w:tcPr>
          <w:p w:rsid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  <w:r w:rsidRPr="00597684">
              <w:rPr>
                <w:color w:val="262626" w:themeColor="text1" w:themeTint="D9"/>
                <w:sz w:val="36"/>
                <w:szCs w:val="36"/>
              </w:rPr>
              <w:t>трусливый</w:t>
            </w:r>
          </w:p>
          <w:p w:rsidR="00597684" w:rsidRPr="00597684" w:rsidRDefault="00597684" w:rsidP="0072030F">
            <w:pPr>
              <w:spacing w:line="276" w:lineRule="auto"/>
              <w:jc w:val="right"/>
              <w:rPr>
                <w:color w:val="262626" w:themeColor="text1" w:themeTint="D9"/>
                <w:sz w:val="36"/>
                <w:szCs w:val="36"/>
              </w:rPr>
            </w:pPr>
          </w:p>
        </w:tc>
        <w:tc>
          <w:tcPr>
            <w:tcW w:w="3077" w:type="dxa"/>
          </w:tcPr>
          <w:p w:rsidR="00597684" w:rsidRPr="00597684" w:rsidRDefault="00597684" w:rsidP="0072030F">
            <w:pPr>
              <w:jc w:val="right"/>
              <w:rPr>
                <w:color w:val="262626" w:themeColor="text1" w:themeTint="D9"/>
              </w:rPr>
            </w:pPr>
          </w:p>
        </w:tc>
      </w:tr>
    </w:tbl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597684" w:rsidRPr="00597684" w:rsidRDefault="00597684" w:rsidP="00014BA4">
      <w:pPr>
        <w:rPr>
          <w:color w:val="262626" w:themeColor="text1" w:themeTint="D9"/>
        </w:rPr>
      </w:pPr>
    </w:p>
    <w:p w:rsidR="00014BA4" w:rsidRPr="00597684" w:rsidRDefault="00014BA4" w:rsidP="00014BA4">
      <w:pPr>
        <w:rPr>
          <w:color w:val="262626" w:themeColor="text1" w:themeTint="D9"/>
        </w:rPr>
      </w:pPr>
      <w:r w:rsidRPr="00597684">
        <w:rPr>
          <w:color w:val="262626" w:themeColor="text1" w:themeTint="D9"/>
        </w:rPr>
        <w:t>антонимы</w:t>
      </w:r>
    </w:p>
    <w:p w:rsidR="00014BA4" w:rsidRPr="00597684" w:rsidRDefault="00014BA4" w:rsidP="00014BA4">
      <w:pPr>
        <w:rPr>
          <w:color w:val="262626" w:themeColor="text1" w:themeTint="D9"/>
        </w:rPr>
      </w:pPr>
      <w:r w:rsidRPr="00597684">
        <w:rPr>
          <w:color w:val="262626" w:themeColor="text1" w:themeTint="D9"/>
        </w:rPr>
        <w:t>антонимы</w:t>
      </w:r>
    </w:p>
    <w:p w:rsidR="00014BA4" w:rsidRDefault="00014BA4" w:rsidP="00014BA4">
      <w:r w:rsidRPr="00597684">
        <w:rPr>
          <w:color w:val="262626" w:themeColor="text1" w:themeTint="D9"/>
        </w:rPr>
        <w:t xml:space="preserve">(от греч. </w:t>
      </w:r>
      <w:proofErr w:type="spellStart"/>
      <w:r w:rsidRPr="00597684">
        <w:rPr>
          <w:color w:val="262626" w:themeColor="text1" w:themeTint="D9"/>
        </w:rPr>
        <w:t>anti</w:t>
      </w:r>
      <w:proofErr w:type="spellEnd"/>
      <w:r w:rsidRPr="00597684">
        <w:rPr>
          <w:color w:val="262626" w:themeColor="text1" w:themeTint="D9"/>
        </w:rPr>
        <w:t xml:space="preserve"> — против + </w:t>
      </w:r>
      <w:proofErr w:type="spellStart"/>
      <w:r w:rsidRPr="00597684">
        <w:rPr>
          <w:color w:val="262626" w:themeColor="text1" w:themeTint="D9"/>
        </w:rPr>
        <w:t>onyma</w:t>
      </w:r>
      <w:proofErr w:type="spellEnd"/>
      <w:r w:rsidRPr="00597684">
        <w:rPr>
          <w:color w:val="262626" w:themeColor="text1" w:themeTint="D9"/>
        </w:rPr>
        <w:t xml:space="preserve"> — имя). Слова, имеющие противоположные значения. Основой антонимии является наличие в значении слова качественного признака, который может возрастать или убывать и доходить </w:t>
      </w:r>
      <w:proofErr w:type="gramStart"/>
      <w:r w:rsidRPr="00597684">
        <w:rPr>
          <w:color w:val="262626" w:themeColor="text1" w:themeTint="D9"/>
        </w:rPr>
        <w:t>до</w:t>
      </w:r>
      <w:proofErr w:type="gramEnd"/>
      <w:r w:rsidRPr="00597684">
        <w:rPr>
          <w:color w:val="262626" w:themeColor="text1" w:themeTint="D9"/>
        </w:rPr>
        <w:t xml:space="preserve"> противоположного. </w:t>
      </w:r>
      <w:proofErr w:type="gramStart"/>
      <w:r w:rsidRPr="00597684">
        <w:rPr>
          <w:color w:val="262626" w:themeColor="text1" w:themeTint="D9"/>
        </w:rPr>
        <w:t>Поэтому особенно много антонимов среди имен прилагательных, выражающих понятия качества (хороший — плохой), различные ощущения (твердый — мягкий, горячий — холодный, мокрый — сухой, сладкий — горький), объема, протя</w:t>
      </w:r>
      <w:r>
        <w:t>женности, размера (толстый — тонкий, большой — маленький, широкий — узкий, высокий — низкий, длинный — короткий, просторный — тесный), веса (тяжелый — легкий), формы (острый — тупой), цвета (белый — черный, светлый — темный), психологических оценок (добрый — злой, нежный — грубый, веселый — печальный, храбрый — трусливый), времени (ранний</w:t>
      </w:r>
      <w:proofErr w:type="gramEnd"/>
      <w:r>
        <w:t xml:space="preserve"> — </w:t>
      </w:r>
      <w:proofErr w:type="gramStart"/>
      <w:r>
        <w:t>поздний</w:t>
      </w:r>
      <w:proofErr w:type="gramEnd"/>
      <w:r>
        <w:t>), пространства (близкий—далекий), возраста (молодой — старый) и т. д.</w:t>
      </w:r>
    </w:p>
    <w:p w:rsidR="00014BA4" w:rsidRDefault="00014BA4" w:rsidP="00014BA4">
      <w:r>
        <w:t xml:space="preserve">Аналогичные значения противоположности и контраста могут выражать имена существительные (добро — зло, сила — слабость, молодость — старость, жизнь — смерть, здоровье — болезнь, работа — отдых, победа — поражение, мир — война, утро — вечер, лето — зима, юг — север, верх — низ), глаголы (жить — умирать, работать </w:t>
      </w:r>
      <w:proofErr w:type="gramStart"/>
      <w:r>
        <w:t>—о</w:t>
      </w:r>
      <w:proofErr w:type="gramEnd"/>
      <w:r>
        <w:t>тдыхать, любить—ненавидеть, радоваться — печалиться, уважать — презирать, расцветать — увядать, приходить — уходить), наречия (рано—поздно, близко—далеко, впереди — сзади, здесь — там, сюда — туда), предлоги (в — из, под — над) и т. д.</w:t>
      </w:r>
    </w:p>
    <w:p w:rsidR="00014BA4" w:rsidRDefault="00014BA4" w:rsidP="00014BA4">
      <w:r>
        <w:t>Многозначность слов обусловливает наличие у одного и того же слова не одного, а нескольких антонимов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р.: низкий забор — высокий забор, низкий поступок — благородный поступок.</w:t>
      </w:r>
    </w:p>
    <w:p w:rsidR="00014BA4" w:rsidRDefault="00014BA4" w:rsidP="00014BA4">
      <w:r>
        <w:t xml:space="preserve">В речи словарные антонимы, построенные на прямом значении слова, могут пополняться антонимами контекстуальными; </w:t>
      </w:r>
      <w:proofErr w:type="gramStart"/>
      <w:r>
        <w:t>ср</w:t>
      </w:r>
      <w:proofErr w:type="gramEnd"/>
      <w:r>
        <w:t xml:space="preserve">.; тесная квартира — просторная квартира; тесная обувь — свободная обувь. Антонимы широко используются в художественной речи, в публицистике как выразительное средство создания контраста. Они часто составляют названия художественных произведений: “Отцы и дети” ( Тургенев); “Война и мир” (Л. Толстой); “Толстый и тонкий” (Ч е </w:t>
      </w:r>
      <w:proofErr w:type="spellStart"/>
      <w:r>
        <w:t>х</w:t>
      </w:r>
      <w:proofErr w:type="spellEnd"/>
      <w:r>
        <w:t xml:space="preserve"> о в); “Дни и ночи” (Симонов)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р. также роль антонимов в построении антитезы.</w:t>
      </w:r>
    </w:p>
    <w:p w:rsidR="00014BA4" w:rsidRDefault="00014BA4" w:rsidP="00014BA4"/>
    <w:p w:rsidR="00014BA4" w:rsidRDefault="00014BA4" w:rsidP="00014BA4"/>
    <w:p w:rsidR="00894CCE" w:rsidRDefault="00014BA4" w:rsidP="00014BA4">
      <w:r>
        <w:t xml:space="preserve">Словарь-справочник лингвистических терминов. Изд. 2-е. — М.: Просвещение. Розенталь Д. Э., </w:t>
      </w:r>
      <w:proofErr w:type="spellStart"/>
      <w:r>
        <w:t>Теленк</w:t>
      </w:r>
      <w:proofErr w:type="spellEnd"/>
    </w:p>
    <w:sectPr w:rsidR="00894CCE" w:rsidSect="00A66D3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7A87"/>
    <w:rsid w:val="00014BA4"/>
    <w:rsid w:val="00416593"/>
    <w:rsid w:val="00431FFE"/>
    <w:rsid w:val="00597684"/>
    <w:rsid w:val="00857A87"/>
    <w:rsid w:val="00894CCE"/>
    <w:rsid w:val="00A66D34"/>
    <w:rsid w:val="00D5637B"/>
    <w:rsid w:val="00DA5B33"/>
    <w:rsid w:val="00FE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E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7A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D423-C5CF-4B78-BFD4-EFDA108D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Alexandr</cp:lastModifiedBy>
  <cp:revision>1</cp:revision>
  <cp:lastPrinted>2012-08-09T18:44:00Z</cp:lastPrinted>
  <dcterms:created xsi:type="dcterms:W3CDTF">2012-08-09T17:47:00Z</dcterms:created>
  <dcterms:modified xsi:type="dcterms:W3CDTF">2012-08-09T18:44:00Z</dcterms:modified>
</cp:coreProperties>
</file>